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napToGrid w:val="0"/>
        <w:spacing w:before="0" w:beforeAutospacing="0" w:after="0" w:afterAutospacing="0" w:line="560" w:lineRule="exact"/>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附件4：命题</w:t>
      </w:r>
      <w:bookmarkStart w:id="0" w:name="_GoBack"/>
      <w:bookmarkEnd w:id="0"/>
      <w:r>
        <w:rPr>
          <w:rFonts w:hint="eastAsia" w:ascii="Times New Roman" w:hAnsi="Times New Roman" w:eastAsia="方正黑体_GBK"/>
          <w:sz w:val="32"/>
          <w:szCs w:val="32"/>
          <w:lang w:val="en-US" w:eastAsia="zh-CN"/>
        </w:rPr>
        <w:t>参考表(院校组)</w:t>
      </w:r>
    </w:p>
    <w:p>
      <w:pPr>
        <w:rPr>
          <w:rFonts w:hint="default"/>
          <w:lang w:val="en-US" w:eastAsia="zh-CN"/>
        </w:rPr>
      </w:pPr>
    </w:p>
    <w:tbl>
      <w:tblPr>
        <w:tblStyle w:val="4"/>
        <w:tblW w:w="128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2632"/>
        <w:gridCol w:w="9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命题名称</w:t>
            </w:r>
          </w:p>
        </w:tc>
        <w:tc>
          <w:tcPr>
            <w:tcW w:w="9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背景材料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8"/>
                <w:szCs w:val="28"/>
                <w:u w:val="none"/>
              </w:rPr>
            </w:pPr>
            <w:r>
              <w:rPr>
                <w:rStyle w:val="6"/>
                <w:sz w:val="28"/>
                <w:szCs w:val="28"/>
                <w:lang w:val="en-US" w:eastAsia="zh-CN" w:bidi="ar"/>
              </w:rPr>
              <w:t>基于</w:t>
            </w:r>
            <w:r>
              <w:rPr>
                <w:rStyle w:val="7"/>
                <w:rFonts w:eastAsia="方正仿宋_GBK"/>
                <w:sz w:val="28"/>
                <w:szCs w:val="28"/>
                <w:lang w:val="en-US" w:eastAsia="zh-CN" w:bidi="ar"/>
              </w:rPr>
              <w:t>“</w:t>
            </w:r>
            <w:r>
              <w:rPr>
                <w:rStyle w:val="6"/>
                <w:sz w:val="28"/>
                <w:szCs w:val="28"/>
                <w:lang w:val="en-US" w:eastAsia="zh-CN" w:bidi="ar"/>
              </w:rPr>
              <w:t>区块链</w:t>
            </w:r>
            <w:r>
              <w:rPr>
                <w:rStyle w:val="7"/>
                <w:rFonts w:eastAsia="方正仿宋_GBK"/>
                <w:sz w:val="28"/>
                <w:szCs w:val="28"/>
                <w:lang w:val="en-US" w:eastAsia="zh-CN" w:bidi="ar"/>
              </w:rPr>
              <w:t>+</w:t>
            </w:r>
            <w:r>
              <w:rPr>
                <w:rStyle w:val="6"/>
                <w:sz w:val="28"/>
                <w:szCs w:val="28"/>
                <w:lang w:val="en-US" w:eastAsia="zh-CN" w:bidi="ar"/>
              </w:rPr>
              <w:t>标识解析</w:t>
            </w:r>
            <w:r>
              <w:rPr>
                <w:rStyle w:val="7"/>
                <w:rFonts w:eastAsia="方正仿宋_GBK"/>
                <w:sz w:val="28"/>
                <w:szCs w:val="28"/>
                <w:lang w:val="en-US" w:eastAsia="zh-CN" w:bidi="ar"/>
              </w:rPr>
              <w:t>”</w:t>
            </w:r>
            <w:r>
              <w:rPr>
                <w:rStyle w:val="6"/>
                <w:sz w:val="28"/>
                <w:szCs w:val="28"/>
                <w:lang w:val="en-US" w:eastAsia="zh-CN" w:bidi="ar"/>
              </w:rPr>
              <w:t>的数字医疗整合</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Style w:val="7"/>
                <w:rFonts w:eastAsia="宋体"/>
                <w:sz w:val="28"/>
                <w:szCs w:val="28"/>
                <w:lang w:val="en-US" w:eastAsia="zh-CN" w:bidi="ar"/>
              </w:rPr>
              <w:t>2024</w:t>
            </w:r>
            <w:r>
              <w:rPr>
                <w:rStyle w:val="6"/>
                <w:sz w:val="28"/>
                <w:szCs w:val="28"/>
                <w:lang w:val="en-US" w:eastAsia="zh-CN" w:bidi="ar"/>
              </w:rPr>
              <w:t>年</w:t>
            </w:r>
            <w:r>
              <w:rPr>
                <w:rStyle w:val="7"/>
                <w:rFonts w:eastAsia="宋体"/>
                <w:sz w:val="28"/>
                <w:szCs w:val="28"/>
                <w:lang w:val="en-US" w:eastAsia="zh-CN" w:bidi="ar"/>
              </w:rPr>
              <w:t>1</w:t>
            </w:r>
            <w:r>
              <w:rPr>
                <w:rStyle w:val="6"/>
                <w:sz w:val="28"/>
                <w:szCs w:val="28"/>
                <w:lang w:val="en-US" w:eastAsia="zh-CN" w:bidi="ar"/>
              </w:rPr>
              <w:t>月，工业和信息化部联合相关部委发布了《工业互联网标识解析体系</w:t>
            </w:r>
            <w:r>
              <w:rPr>
                <w:rStyle w:val="7"/>
                <w:rFonts w:eastAsia="宋体"/>
                <w:sz w:val="28"/>
                <w:szCs w:val="28"/>
                <w:lang w:val="en-US" w:eastAsia="zh-CN" w:bidi="ar"/>
              </w:rPr>
              <w:t>“</w:t>
            </w:r>
            <w:r>
              <w:rPr>
                <w:rStyle w:val="6"/>
                <w:sz w:val="28"/>
                <w:szCs w:val="28"/>
                <w:lang w:val="en-US" w:eastAsia="zh-CN" w:bidi="ar"/>
              </w:rPr>
              <w:t>贯通</w:t>
            </w:r>
            <w:r>
              <w:rPr>
                <w:rStyle w:val="7"/>
                <w:rFonts w:eastAsia="宋体"/>
                <w:sz w:val="28"/>
                <w:szCs w:val="28"/>
                <w:lang w:val="en-US" w:eastAsia="zh-CN" w:bidi="ar"/>
              </w:rPr>
              <w:t>”</w:t>
            </w:r>
            <w:r>
              <w:rPr>
                <w:rStyle w:val="6"/>
                <w:sz w:val="28"/>
                <w:szCs w:val="28"/>
                <w:lang w:val="en-US" w:eastAsia="zh-CN" w:bidi="ar"/>
              </w:rPr>
              <w:t>行动计划（</w:t>
            </w:r>
            <w:r>
              <w:rPr>
                <w:rStyle w:val="7"/>
                <w:rFonts w:eastAsia="宋体"/>
                <w:sz w:val="28"/>
                <w:szCs w:val="28"/>
                <w:lang w:val="en-US" w:eastAsia="zh-CN" w:bidi="ar"/>
              </w:rPr>
              <w:t>2024—2026</w:t>
            </w:r>
            <w:r>
              <w:rPr>
                <w:rStyle w:val="6"/>
                <w:sz w:val="28"/>
                <w:szCs w:val="28"/>
                <w:lang w:val="en-US" w:eastAsia="zh-CN" w:bidi="ar"/>
              </w:rPr>
              <w:t>年）》，其中在医疗方向，明确提出支持药品、医疗器械等医用产品重点领域接入工业互联网标识解析体系，重点推进医用产品的原料、生产、物流仓储、耗材采购等信息平台的数据汇聚和可信认证工作，实现医疗领域数据资源的可信高效统一管理。加速工业互联网标识解析体系与药品追溯码、医疗器械唯一标识（</w:t>
            </w:r>
            <w:r>
              <w:rPr>
                <w:rStyle w:val="7"/>
                <w:rFonts w:eastAsia="宋体"/>
                <w:sz w:val="28"/>
                <w:szCs w:val="28"/>
                <w:lang w:val="en-US" w:eastAsia="zh-CN" w:bidi="ar"/>
              </w:rPr>
              <w:t>UDI</w:t>
            </w:r>
            <w:r>
              <w:rPr>
                <w:rStyle w:val="6"/>
                <w:sz w:val="28"/>
                <w:szCs w:val="28"/>
                <w:lang w:val="en-US" w:eastAsia="zh-CN" w:bidi="ar"/>
              </w:rPr>
              <w:t>）体系深度融合，促进医疗机构间医学影像资料可信共享。探索拓展工业互联网标识与药品追溯码、医疗器械唯一标识（</w:t>
            </w:r>
            <w:r>
              <w:rPr>
                <w:rStyle w:val="7"/>
                <w:rFonts w:eastAsia="宋体"/>
                <w:sz w:val="28"/>
                <w:szCs w:val="28"/>
                <w:lang w:val="en-US" w:eastAsia="zh-CN" w:bidi="ar"/>
              </w:rPr>
              <w:t>UDI</w:t>
            </w:r>
            <w:r>
              <w:rPr>
                <w:rStyle w:val="6"/>
                <w:sz w:val="28"/>
                <w:szCs w:val="28"/>
                <w:lang w:val="en-US" w:eastAsia="zh-CN" w:bidi="ar"/>
              </w:rPr>
              <w:t>）在监管方面的融合应用。工业互联网标识解析作为物理世界的身份证，是跨企业、跨系统、跨区域数据互联互通的纽带，同时</w:t>
            </w:r>
            <w:r>
              <w:rPr>
                <w:rStyle w:val="7"/>
                <w:rFonts w:eastAsia="宋体"/>
                <w:sz w:val="28"/>
                <w:szCs w:val="28"/>
                <w:lang w:val="en-US" w:eastAsia="zh-CN" w:bidi="ar"/>
              </w:rPr>
              <w:t>UDI</w:t>
            </w:r>
            <w:r>
              <w:rPr>
                <w:rStyle w:val="6"/>
                <w:sz w:val="28"/>
                <w:szCs w:val="28"/>
                <w:lang w:val="en-US" w:eastAsia="zh-CN" w:bidi="ar"/>
              </w:rPr>
              <w:t>码更多只是承载批次信息，面向目前一些</w:t>
            </w:r>
            <w:r>
              <w:rPr>
                <w:rStyle w:val="7"/>
                <w:rFonts w:eastAsia="宋体"/>
                <w:sz w:val="28"/>
                <w:szCs w:val="28"/>
                <w:lang w:val="en-US" w:eastAsia="zh-CN" w:bidi="ar"/>
              </w:rPr>
              <w:t>“</w:t>
            </w:r>
            <w:r>
              <w:rPr>
                <w:rStyle w:val="6"/>
                <w:sz w:val="28"/>
                <w:szCs w:val="28"/>
                <w:lang w:val="en-US" w:eastAsia="zh-CN" w:bidi="ar"/>
              </w:rPr>
              <w:t>套医保</w:t>
            </w:r>
            <w:r>
              <w:rPr>
                <w:rStyle w:val="7"/>
                <w:rFonts w:eastAsia="宋体"/>
                <w:sz w:val="28"/>
                <w:szCs w:val="28"/>
                <w:lang w:val="en-US" w:eastAsia="zh-CN" w:bidi="ar"/>
              </w:rPr>
              <w:t>”</w:t>
            </w:r>
            <w:r>
              <w:rPr>
                <w:rStyle w:val="6"/>
                <w:sz w:val="28"/>
                <w:szCs w:val="28"/>
                <w:lang w:val="en-US" w:eastAsia="zh-CN" w:bidi="ar"/>
              </w:rPr>
              <w:t>、</w:t>
            </w:r>
            <w:r>
              <w:rPr>
                <w:rStyle w:val="7"/>
                <w:rFonts w:eastAsia="宋体"/>
                <w:sz w:val="28"/>
                <w:szCs w:val="28"/>
                <w:lang w:val="en-US" w:eastAsia="zh-CN" w:bidi="ar"/>
              </w:rPr>
              <w:t>“</w:t>
            </w:r>
            <w:r>
              <w:rPr>
                <w:rStyle w:val="6"/>
                <w:sz w:val="28"/>
                <w:szCs w:val="28"/>
                <w:lang w:val="en-US" w:eastAsia="zh-CN" w:bidi="ar"/>
              </w:rPr>
              <w:t>医患纠纷</w:t>
            </w:r>
            <w:r>
              <w:rPr>
                <w:rStyle w:val="7"/>
                <w:rFonts w:eastAsia="宋体"/>
                <w:sz w:val="28"/>
                <w:szCs w:val="28"/>
                <w:lang w:val="en-US" w:eastAsia="zh-CN" w:bidi="ar"/>
              </w:rPr>
              <w:t>”</w:t>
            </w:r>
            <w:r>
              <w:rPr>
                <w:rStyle w:val="6"/>
                <w:sz w:val="28"/>
                <w:szCs w:val="28"/>
                <w:lang w:val="en-US" w:eastAsia="zh-CN" w:bidi="ar"/>
              </w:rPr>
              <w:t>等场景，难以提供可信交互能力，如何解决相关痛点，实现医疗领域数据的互认、互信和可信高效统一管理。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Style w:val="8"/>
                <w:sz w:val="28"/>
                <w:szCs w:val="28"/>
                <w:lang w:val="en-US" w:eastAsia="zh-CN" w:bidi="ar"/>
              </w:rPr>
              <w:t>基于</w:t>
            </w:r>
            <w:r>
              <w:rPr>
                <w:rStyle w:val="9"/>
                <w:rFonts w:eastAsia="方正仿宋_GBK"/>
                <w:sz w:val="28"/>
                <w:szCs w:val="28"/>
                <w:lang w:val="en-US" w:eastAsia="zh-CN" w:bidi="ar"/>
              </w:rPr>
              <w:t>“</w:t>
            </w:r>
            <w:r>
              <w:rPr>
                <w:rStyle w:val="8"/>
                <w:sz w:val="28"/>
                <w:szCs w:val="28"/>
                <w:lang w:val="en-US" w:eastAsia="zh-CN" w:bidi="ar"/>
              </w:rPr>
              <w:t>区块链</w:t>
            </w:r>
            <w:r>
              <w:rPr>
                <w:rStyle w:val="9"/>
                <w:rFonts w:eastAsia="方正仿宋_GBK"/>
                <w:sz w:val="28"/>
                <w:szCs w:val="28"/>
                <w:lang w:val="en-US" w:eastAsia="zh-CN" w:bidi="ar"/>
              </w:rPr>
              <w:t>+</w:t>
            </w:r>
            <w:r>
              <w:rPr>
                <w:rStyle w:val="8"/>
                <w:sz w:val="28"/>
                <w:szCs w:val="28"/>
                <w:lang w:val="en-US" w:eastAsia="zh-CN" w:bidi="ar"/>
              </w:rPr>
              <w:t>隐私计算</w:t>
            </w:r>
            <w:r>
              <w:rPr>
                <w:rStyle w:val="9"/>
                <w:rFonts w:eastAsia="方正仿宋_GBK"/>
                <w:sz w:val="28"/>
                <w:szCs w:val="28"/>
                <w:lang w:val="en-US" w:eastAsia="zh-CN" w:bidi="ar"/>
              </w:rPr>
              <w:t>”</w:t>
            </w:r>
            <w:r>
              <w:rPr>
                <w:rStyle w:val="8"/>
                <w:sz w:val="28"/>
                <w:szCs w:val="28"/>
                <w:lang w:val="en-US" w:eastAsia="zh-CN" w:bidi="ar"/>
              </w:rPr>
              <w:t>的金融风控</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Style w:val="8"/>
                <w:sz w:val="28"/>
                <w:szCs w:val="28"/>
                <w:lang w:val="en-US" w:eastAsia="zh-CN" w:bidi="ar"/>
              </w:rPr>
              <w:t>为深入贯彻落实党中央、国务院打击治理电信网络诈骗和跨境赌博工作部署，切实做好辖区电信网络诈骗和跨境赌博</w:t>
            </w:r>
            <w:r>
              <w:rPr>
                <w:rStyle w:val="9"/>
                <w:rFonts w:eastAsia="方正仿宋_GBK"/>
                <w:sz w:val="28"/>
                <w:szCs w:val="28"/>
                <w:lang w:val="en-US" w:eastAsia="zh-CN" w:bidi="ar"/>
              </w:rPr>
              <w:t>“</w:t>
            </w:r>
            <w:r>
              <w:rPr>
                <w:rStyle w:val="8"/>
                <w:sz w:val="28"/>
                <w:szCs w:val="28"/>
                <w:lang w:val="en-US" w:eastAsia="zh-CN" w:bidi="ar"/>
              </w:rPr>
              <w:t>资金链</w:t>
            </w:r>
            <w:r>
              <w:rPr>
                <w:rStyle w:val="9"/>
                <w:rFonts w:eastAsia="方正仿宋_GBK"/>
                <w:sz w:val="28"/>
                <w:szCs w:val="28"/>
                <w:lang w:val="en-US" w:eastAsia="zh-CN" w:bidi="ar"/>
              </w:rPr>
              <w:t>”</w:t>
            </w:r>
            <w:r>
              <w:rPr>
                <w:rStyle w:val="8"/>
                <w:sz w:val="28"/>
                <w:szCs w:val="28"/>
                <w:lang w:val="en-US" w:eastAsia="zh-CN" w:bidi="ar"/>
              </w:rPr>
              <w:t>治理工作，有效提升辖内银行机构账户分级分类管理的精准度，做好小微企业和流动就业群体等银行账户服务工作，建立集交易事前防范、事中监控及事后分析的风险监控体系，有效防范电信网络诈骗、银行卡欺诈等风险，全面提升反欺诈能力。运用各金融机构、公安、社保、电信运营商等各部门数据，综合判断并展示客户风险程度，方便银行机构快速、精准识别客户风险，提供与客户风险程度相匹配的银行账户服务。数据归属部门由于相关数据无法直接输出，需要通过</w:t>
            </w:r>
            <w:r>
              <w:rPr>
                <w:rStyle w:val="9"/>
                <w:rFonts w:eastAsia="方正仿宋_GBK"/>
                <w:sz w:val="28"/>
                <w:szCs w:val="28"/>
                <w:lang w:val="en-US" w:eastAsia="zh-CN" w:bidi="ar"/>
              </w:rPr>
              <w:t>“</w:t>
            </w:r>
            <w:r>
              <w:rPr>
                <w:rStyle w:val="8"/>
                <w:sz w:val="28"/>
                <w:szCs w:val="28"/>
                <w:lang w:val="en-US" w:eastAsia="zh-CN" w:bidi="ar"/>
              </w:rPr>
              <w:t>区块链</w:t>
            </w:r>
            <w:r>
              <w:rPr>
                <w:rStyle w:val="9"/>
                <w:rFonts w:eastAsia="方正仿宋_GBK"/>
                <w:sz w:val="28"/>
                <w:szCs w:val="28"/>
                <w:lang w:val="en-US" w:eastAsia="zh-CN" w:bidi="ar"/>
              </w:rPr>
              <w:t>+</w:t>
            </w:r>
            <w:r>
              <w:rPr>
                <w:rStyle w:val="8"/>
                <w:sz w:val="28"/>
                <w:szCs w:val="28"/>
                <w:lang w:val="en-US" w:eastAsia="zh-CN" w:bidi="ar"/>
              </w:rPr>
              <w:t>隐私计算</w:t>
            </w:r>
            <w:r>
              <w:rPr>
                <w:rStyle w:val="9"/>
                <w:rFonts w:eastAsia="方正仿宋_GBK"/>
                <w:sz w:val="28"/>
                <w:szCs w:val="28"/>
                <w:lang w:val="en-US" w:eastAsia="zh-CN" w:bidi="ar"/>
              </w:rPr>
              <w:t>”</w:t>
            </w:r>
            <w:r>
              <w:rPr>
                <w:rStyle w:val="8"/>
                <w:sz w:val="28"/>
                <w:szCs w:val="28"/>
                <w:lang w:val="en-US" w:eastAsia="zh-CN" w:bidi="ar"/>
              </w:rPr>
              <w:t>技术实现相关风险核验。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智慧城市物联网设备间安全通信和数据共享</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当前，物联网（</w:t>
            </w:r>
            <w:r>
              <w:rPr>
                <w:rStyle w:val="9"/>
                <w:rFonts w:eastAsia="方正仿宋_GBK"/>
                <w:sz w:val="28"/>
                <w:szCs w:val="28"/>
                <w:lang w:val="en-US" w:eastAsia="zh-CN" w:bidi="ar"/>
              </w:rPr>
              <w:t>IoT</w:t>
            </w:r>
            <w:r>
              <w:rPr>
                <w:rStyle w:val="8"/>
                <w:sz w:val="28"/>
                <w:szCs w:val="28"/>
                <w:lang w:val="en-US" w:eastAsia="zh-CN" w:bidi="ar"/>
              </w:rPr>
              <w:t>）设备被广泛应用于各个领域，</w:t>
            </w:r>
            <w:r>
              <w:rPr>
                <w:rStyle w:val="10"/>
                <w:sz w:val="28"/>
                <w:szCs w:val="28"/>
                <w:lang w:val="en-US" w:eastAsia="zh-CN" w:bidi="ar"/>
              </w:rPr>
              <w:t>如智能交通、环境监测、智能建筑、公共安全等</w:t>
            </w:r>
            <w:r>
              <w:rPr>
                <w:rStyle w:val="8"/>
                <w:sz w:val="28"/>
                <w:szCs w:val="28"/>
                <w:lang w:val="en-US" w:eastAsia="zh-CN" w:bidi="ar"/>
              </w:rPr>
              <w:t>。这些设备可以实时收集和处理大量数据，为城市管理者和居民提供更好的服务。然而，随着物联网设备的大规模部署，设备之间的通信和数据共享面临着一系列挑战，如身份验证、数据完整性、隐私保护和可扩展性等，围绕具体应用场景给出数据智慧城市数据流转的区块链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基于区块链技术的社交媒体内容版权保护和隐私保护</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数字时代，内容创作与分享已成为人们日常生活的重要组成部分。然而，随着社交媒体、博客、视频平台等数字渠道的快速发展，内容版权保护问题日益突出。传统的版权保护机制往往依赖于中心化的第三方机构进行内容认证和维权，但这些机制往往存在效率不高、成本高昂、透明度不足等问题。此外，随着用户对隐私和数据安全的关注增加，如何在保护内容版权的同时确保用户隐私不被侵犯也成为亟需解决的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基于区块链技术的学生可信数据流转系统</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当前教育领域数字化、信息化快速发展的背景下，传统的学生数据管理模式往往存在一些问题，如数据安全性低、管理效率低下、信息共享困难等。这些问题导致学生数据在流转过程中存在信任缺失、数据篡改、安全性不足等问题，无法确保数据的真实性、完整性、可信性，需要解决传统数据流转方式存在的信任缺失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基于区块链的高渗透率风光新能源协同优化平台</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随着全球对可持续能源和减少碳排放的迫切需求，风光新能源（如太阳能和风能）已成为全球能源转型的重要组成部分。然而，风光新能源的分散性、间歇性和不可预测性给其高效利用和并网管理带来了巨大挑战。传统的中心化能源管理系统往往存在信息不透明、效率低下和信任缺失等问题，难以适应新能源高渗透率环境下的复杂需求。通过将区块链技术与新能源管理相结合，可以构建一个多方参与、数据共享、协同决策的优化平台，以解决传统能源管理系统存在的诸多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区块链赋能智慧资产监督系统</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建立一个内容真实、结构合理、使用方便的国有资产、资源区块链监管系统，依托现代信息网络技术、区块链技术、大数据和云计算的技术融合，充分发挥区块链技术在信息安全、数据真实有效的优势，建立起一套完整的国有或者是集体资产的信息采集、处理、监督和控制机制</w:t>
            </w:r>
            <w:r>
              <w:rPr>
                <w:rStyle w:val="11"/>
                <w:sz w:val="28"/>
                <w:szCs w:val="28"/>
                <w:lang w:val="en-US" w:eastAsia="zh-CN" w:bidi="ar"/>
              </w:rPr>
              <w:t>。</w:t>
            </w:r>
            <w:r>
              <w:rPr>
                <w:rStyle w:val="8"/>
                <w:sz w:val="28"/>
                <w:szCs w:val="28"/>
                <w:lang w:val="en-US" w:eastAsia="zh-CN" w:bidi="ar"/>
              </w:rPr>
              <w:t>深入运用区块链技术赋能政府部门权力运行监督。实现各类经营性资产底数清晰、权属明确；分级运营、智慧监管；即时预警、动态纠偏；全程留痕、透明运行；数据赋能、保值增值。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区块链城市链网基础设施平台</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随着推进城市数字经济转型和数字经济高质量发展进程的加快，需要深入</w:t>
            </w:r>
            <w:r>
              <w:rPr>
                <w:rStyle w:val="8"/>
                <w:sz w:val="28"/>
                <w:szCs w:val="28"/>
                <w:lang w:val="en-US" w:eastAsia="zh-CN" w:bidi="ar"/>
              </w:rPr>
              <w:t>运用区块链技术赋能政务领域，为各应用链实现统一管理支撑、降低应用门槛、保障应用安全，需总结行业共识，建立统一标准及规范，实现城市链网区块链应用的规范化、集约化、可视化统一管理。充分发挥区块链在促进数据共享、优化业务流程、降低运营成本、提高协调效率等方面的优势，积极推进政务区块链的示范性应用，提高政务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基于区块链的数据要素流通</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Style w:val="8"/>
                <w:sz w:val="28"/>
                <w:szCs w:val="28"/>
                <w:lang w:val="en-US" w:eastAsia="zh-CN" w:bidi="ar"/>
              </w:rPr>
              <w:t>随着信息技术的飞速发展，数据作为新时代的</w:t>
            </w:r>
            <w:r>
              <w:rPr>
                <w:rStyle w:val="9"/>
                <w:rFonts w:eastAsia="方正仿宋_GBK"/>
                <w:sz w:val="28"/>
                <w:szCs w:val="28"/>
                <w:lang w:val="en-US" w:eastAsia="zh-CN" w:bidi="ar"/>
              </w:rPr>
              <w:t>“</w:t>
            </w:r>
            <w:r>
              <w:rPr>
                <w:rStyle w:val="8"/>
                <w:sz w:val="28"/>
                <w:szCs w:val="28"/>
                <w:lang w:val="en-US" w:eastAsia="zh-CN" w:bidi="ar"/>
              </w:rPr>
              <w:t>石油</w:t>
            </w:r>
            <w:r>
              <w:rPr>
                <w:rStyle w:val="9"/>
                <w:rFonts w:eastAsia="方正仿宋_GBK"/>
                <w:sz w:val="28"/>
                <w:szCs w:val="28"/>
                <w:lang w:val="en-US" w:eastAsia="zh-CN" w:bidi="ar"/>
              </w:rPr>
              <w:t>”</w:t>
            </w:r>
            <w:r>
              <w:rPr>
                <w:rStyle w:val="8"/>
                <w:sz w:val="28"/>
                <w:szCs w:val="28"/>
                <w:lang w:val="en-US" w:eastAsia="zh-CN" w:bidi="ar"/>
              </w:rPr>
              <w:t>，其价值日益凸显。然而，数据流通与共享的过程中，面临着隐私泄露、篡改、抵赖等诸多风险。在此背景下，探讨基于区块链的数据要素流通解决方案，不仅有助于解决当前数据流通领域的问题，还能推动数据经济的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基于区块链的数据资源入表</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随着大数据时代的到来，数据资源已经成为企业和社会的重要资产。然而，传统的数据资源管理方式往往面临着数据孤岛、数据不一致、难以追溯等问题。区块链技术作为一种新型的分布式数据库技术，具有不可篡改、去中心化、高度安全等特点，为数据资源管理提供了新的解决方案。将数据资源与区块链技术相结合，可以实现数据资源的可信入表，提高数据的可靠性和透明度，以满足现代数据管理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区块链赋能大规模分布式可信计算</w:t>
            </w:r>
          </w:p>
        </w:tc>
        <w:tc>
          <w:tcPr>
            <w:tcW w:w="9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8"/>
                <w:szCs w:val="28"/>
                <w:u w:val="none"/>
              </w:rPr>
            </w:pPr>
            <w:r>
              <w:rPr>
                <w:rStyle w:val="8"/>
                <w:sz w:val="28"/>
                <w:szCs w:val="28"/>
                <w:lang w:val="en-US" w:eastAsia="zh-CN" w:bidi="ar"/>
              </w:rPr>
              <w:t>当前，算力已经成为数字经济时代的关键推动力。《</w:t>
            </w:r>
            <w:r>
              <w:rPr>
                <w:rStyle w:val="9"/>
                <w:rFonts w:eastAsia="方正仿宋_GBK"/>
                <w:sz w:val="28"/>
                <w:szCs w:val="28"/>
                <w:lang w:val="en-US" w:eastAsia="zh-CN" w:bidi="ar"/>
              </w:rPr>
              <w:t>“</w:t>
            </w:r>
            <w:r>
              <w:rPr>
                <w:rStyle w:val="8"/>
                <w:sz w:val="28"/>
                <w:szCs w:val="28"/>
                <w:lang w:val="en-US" w:eastAsia="zh-CN" w:bidi="ar"/>
              </w:rPr>
              <w:t>十四五</w:t>
            </w:r>
            <w:r>
              <w:rPr>
                <w:rStyle w:val="9"/>
                <w:rFonts w:eastAsia="方正仿宋_GBK"/>
                <w:sz w:val="28"/>
                <w:szCs w:val="28"/>
                <w:lang w:val="en-US" w:eastAsia="zh-CN" w:bidi="ar"/>
              </w:rPr>
              <w:t>”</w:t>
            </w:r>
            <w:r>
              <w:rPr>
                <w:rStyle w:val="8"/>
                <w:sz w:val="28"/>
                <w:szCs w:val="28"/>
                <w:lang w:val="en-US" w:eastAsia="zh-CN" w:bidi="ar"/>
              </w:rPr>
              <w:t>数字经济发展规划》中明确提出要加快实施</w:t>
            </w:r>
            <w:r>
              <w:rPr>
                <w:rStyle w:val="9"/>
                <w:rFonts w:eastAsia="方正仿宋_GBK"/>
                <w:sz w:val="28"/>
                <w:szCs w:val="28"/>
                <w:lang w:val="en-US" w:eastAsia="zh-CN" w:bidi="ar"/>
              </w:rPr>
              <w:t>“</w:t>
            </w:r>
            <w:r>
              <w:rPr>
                <w:rStyle w:val="8"/>
                <w:sz w:val="28"/>
                <w:szCs w:val="28"/>
                <w:lang w:val="en-US" w:eastAsia="zh-CN" w:bidi="ar"/>
              </w:rPr>
              <w:t>东数西算</w:t>
            </w:r>
            <w:r>
              <w:rPr>
                <w:rStyle w:val="9"/>
                <w:rFonts w:eastAsia="方正仿宋_GBK"/>
                <w:sz w:val="28"/>
                <w:szCs w:val="28"/>
                <w:lang w:val="en-US" w:eastAsia="zh-CN" w:bidi="ar"/>
              </w:rPr>
              <w:t>“</w:t>
            </w:r>
            <w:r>
              <w:rPr>
                <w:rStyle w:val="8"/>
                <w:sz w:val="28"/>
                <w:szCs w:val="28"/>
                <w:lang w:val="en-US" w:eastAsia="zh-CN" w:bidi="ar"/>
              </w:rPr>
              <w:t>工程，通过推动云网协同发展，提升数据中心跨网络、跨地域数据交互的能力，对算力进行合理调度和优化配置。随着人工智能的迅猛发展，对算力的需求正在持续扩大，例如大模型训练等各类新型需求也在不断涌现。</w:t>
            </w:r>
          </w:p>
        </w:tc>
      </w:tr>
    </w:tbl>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ZTY5NDFhYzRlNjNiMGU5MjkzMjgzZTQ0MGNlOTYifQ=="/>
  </w:docVars>
  <w:rsids>
    <w:rsidRoot w:val="089371EC"/>
    <w:rsid w:val="089371EC"/>
    <w:rsid w:val="365C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99"/>
    <w:pPr>
      <w:spacing w:before="100" w:beforeAutospacing="1" w:after="100" w:afterAutospacing="1"/>
      <w:jc w:val="left"/>
    </w:pPr>
    <w:rPr>
      <w:kern w:val="0"/>
      <w:sz w:val="24"/>
    </w:rPr>
  </w:style>
  <w:style w:type="character" w:customStyle="1" w:styleId="6">
    <w:name w:val="font31"/>
    <w:basedOn w:val="5"/>
    <w:qFormat/>
    <w:uiPriority w:val="0"/>
    <w:rPr>
      <w:rFonts w:hint="eastAsia" w:ascii="方正仿宋_GBK" w:hAnsi="方正仿宋_GBK" w:eastAsia="方正仿宋_GBK" w:cs="方正仿宋_GBK"/>
      <w:color w:val="000000"/>
      <w:sz w:val="32"/>
      <w:szCs w:val="32"/>
      <w:u w:val="none"/>
    </w:rPr>
  </w:style>
  <w:style w:type="character" w:customStyle="1" w:styleId="7">
    <w:name w:val="font41"/>
    <w:basedOn w:val="5"/>
    <w:autoRedefine/>
    <w:qFormat/>
    <w:uiPriority w:val="0"/>
    <w:rPr>
      <w:rFonts w:hint="default" w:ascii="Times New Roman" w:hAnsi="Times New Roman" w:cs="Times New Roman"/>
      <w:color w:val="000000"/>
      <w:sz w:val="32"/>
      <w:szCs w:val="32"/>
      <w:u w:val="none"/>
    </w:rPr>
  </w:style>
  <w:style w:type="character" w:customStyle="1" w:styleId="8">
    <w:name w:val="font51"/>
    <w:basedOn w:val="5"/>
    <w:qFormat/>
    <w:uiPriority w:val="0"/>
    <w:rPr>
      <w:rFonts w:hint="eastAsia" w:ascii="方正仿宋_GBK" w:hAnsi="方正仿宋_GBK" w:eastAsia="方正仿宋_GBK" w:cs="方正仿宋_GBK"/>
      <w:color w:val="000000"/>
      <w:sz w:val="32"/>
      <w:szCs w:val="32"/>
      <w:u w:val="none"/>
    </w:rPr>
  </w:style>
  <w:style w:type="character" w:customStyle="1" w:styleId="9">
    <w:name w:val="font21"/>
    <w:basedOn w:val="5"/>
    <w:autoRedefine/>
    <w:qFormat/>
    <w:uiPriority w:val="0"/>
    <w:rPr>
      <w:rFonts w:hint="default" w:ascii="Times New Roman" w:hAnsi="Times New Roman" w:cs="Times New Roman"/>
      <w:color w:val="000000"/>
      <w:sz w:val="32"/>
      <w:szCs w:val="32"/>
      <w:u w:val="none"/>
    </w:rPr>
  </w:style>
  <w:style w:type="character" w:customStyle="1" w:styleId="10">
    <w:name w:val="font61"/>
    <w:basedOn w:val="5"/>
    <w:autoRedefine/>
    <w:qFormat/>
    <w:uiPriority w:val="0"/>
    <w:rPr>
      <w:rFonts w:hint="eastAsia" w:ascii="方正仿宋_GBK" w:hAnsi="方正仿宋_GBK" w:eastAsia="方正仿宋_GBK" w:cs="方正仿宋_GBK"/>
      <w:color w:val="000000"/>
      <w:sz w:val="32"/>
      <w:szCs w:val="32"/>
      <w:u w:val="none"/>
    </w:rPr>
  </w:style>
  <w:style w:type="character" w:customStyle="1" w:styleId="11">
    <w:name w:val="font71"/>
    <w:basedOn w:val="5"/>
    <w:qFormat/>
    <w:uiPriority w:val="0"/>
    <w:rPr>
      <w:rFonts w:hint="eastAsia" w:ascii="方正仿宋_GBK" w:hAnsi="方正仿宋_GBK" w:eastAsia="方正仿宋_GBK" w:cs="方正仿宋_GBK"/>
      <w:color w:val="C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2024-03-22T03:32:00Z</dcterms:created>
  <dc:creator>林白白。</dc:creator>
  <cp:lastModifiedBy>林白白。</cp:lastModifiedBy>
  <dcterms:modified xsi:type="dcterms:W3CDTF">2024-03-22T06:22:26Z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A6B2AE1D37D3402A9AE4726740E3FFC2_11</vt:lpwstr>
  </property>
</Properties>
</file>