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74FB">
      <w:pPr>
        <w:keepNext w:val="0"/>
        <w:keepLines w:val="0"/>
        <w:widowControl w:val="0"/>
        <w:suppressLineNumbers w:val="0"/>
        <w:snapToGrid w:val="0"/>
        <w:spacing w:before="0" w:beforeAutospacing="1" w:after="0" w:afterAutospacing="0" w:line="400" w:lineRule="exact"/>
        <w:ind w:left="0" w:right="0"/>
        <w:jc w:val="left"/>
        <w:rPr>
          <w:rFonts w:hint="default" w:ascii="Times New Roman" w:hAnsi="Times New Roman" w:eastAsia="微软雅黑" w:cs="Times New Roman"/>
          <w:kern w:val="2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kern w:val="2"/>
          <w:sz w:val="28"/>
          <w:szCs w:val="28"/>
          <w:lang w:val="en-US" w:eastAsia="zh-CN" w:bidi="ar"/>
        </w:rPr>
        <w:t>1</w:t>
      </w:r>
    </w:p>
    <w:p w14:paraId="36CB74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 w:eastAsia="zh-CN" w:bidi="ar"/>
        </w:rPr>
        <w:t>常州工学院第四届结构创新大赛</w:t>
      </w:r>
    </w:p>
    <w:p w14:paraId="6BE349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 w:eastAsia="zh-CN" w:bidi="ar"/>
        </w:rPr>
        <w:t>暨2026江苏省大学生土木工程结构创新竞赛</w:t>
      </w:r>
    </w:p>
    <w:p w14:paraId="331DB9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 w:eastAsia="zh-CN" w:bidi="ar"/>
        </w:rPr>
        <w:t>加载赛道竞赛题目</w:t>
      </w:r>
    </w:p>
    <w:bookmarkEnd w:id="0"/>
    <w:p w14:paraId="00A1490C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一、赛题要求</w:t>
      </w:r>
    </w:p>
    <w:p w14:paraId="7D25BCD9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1.设计一座桥梁模型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，并用指定材料制作，结构形式不限，但应凸显力学设计与结构概念，并在满足加载要求的前提下实现最大承重比。</w:t>
      </w:r>
    </w:p>
    <w:p w14:paraId="4FE02740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2.桥梁结构净跨度为800mm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，桥面加载点到底板顶面距离为2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mm，桥下各处净空不小于1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mm（支座范围内不设置净空要求，尺寸同底板），横向宽度不大于3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50mm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。</w:t>
      </w:r>
    </w:p>
    <w:p w14:paraId="23060F5B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3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两侧桥墩使用ST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自攻螺钉固定于底板，每枚螺钉在结构质量结算时增加1g，不得在底板开槽或挖孔等增强固定桥墩，底板尺寸为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500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mm×80mm×15mm（由组委会提供），通过夹具固定于加载台，加载布置详见图附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1。</w:t>
      </w:r>
    </w:p>
    <w:p w14:paraId="4EFF8B66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4.各杆件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可使用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502胶粘接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，但不得采用指定外的材料加固结构。</w:t>
      </w:r>
    </w:p>
    <w:p w14:paraId="634B366E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4686300" cy="1752600"/>
            <wp:effectExtent l="0" t="0" r="7620" b="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 xml:space="preserve"> </w:t>
      </w:r>
    </w:p>
    <w:p w14:paraId="51110F52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图附1-1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桥梁结构加载示意图</w:t>
      </w:r>
    </w:p>
    <w:p w14:paraId="0E398F8C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二、加载过程</w:t>
      </w:r>
    </w:p>
    <w:p w14:paraId="0C94ED29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结构需承受20kg荷载，加载区域宽同桥面宽度，长2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40mm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，位于桥面中心位置，高度与桥面最高点一致，以桥中心轴线对称。</w:t>
      </w:r>
    </w:p>
    <w:p w14:paraId="3619967C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2.加载前准备工作及加载过程由队员独立进行，即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加载砝码由队员自己放置，加载时间限制在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分钟以内。若时间达到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10分钟，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每超出1分钟，总分减1分；若时间达到1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分钟仍未完成加载，则此时承载质量作为模型最终承载质量。</w:t>
      </w:r>
    </w:p>
    <w:p w14:paraId="1FEA4FAB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比赛提供与加载区域同尺寸的加载木板，用于放置砝码，桥梁结构需保证能水平放置该加载木板，加载过程中砝码落地视为加载失效，此时承载质量作为模型最终承载质量。</w:t>
      </w:r>
    </w:p>
    <w:p w14:paraId="58B82EDD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4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质量块规格为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1kg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和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2kg，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尺寸见图附2，每次加载质量由队员自行决定。</w:t>
      </w:r>
    </w:p>
    <w:p w14:paraId="42E2EC50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5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完成加载后，小组成员须一起举手示意，1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s内结构完好视为加载通过。</w:t>
      </w:r>
    </w:p>
    <w:p w14:paraId="1C1B6C5C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480" w:firstLineChars="20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028700" cy="723900"/>
            <wp:effectExtent l="0" t="0" r="7620" b="762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 xml:space="preserve">  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285875" cy="723900"/>
            <wp:effectExtent l="0" t="0" r="9525" b="7620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4A1284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图附1-2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砝码尺寸示意图（单位：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mm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）</w:t>
      </w:r>
    </w:p>
    <w:p w14:paraId="38D2BCA9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7.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模型整体垮塌（不含局部变形）、加载节点断裂、主要承力杆件破坏、结构变形过大无法承力或加载砝码掉落视作结构失效，即加载失败。</w:t>
      </w:r>
    </w:p>
    <w:p w14:paraId="507DB33F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三、制作材料</w:t>
      </w:r>
    </w:p>
    <w:p w14:paraId="044C3FEF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both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各组需在报名时告知组委会需要的材料套数。每套材料包括9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mm×2mm×2mm竹杆1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0根、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9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mm×1mm×6mm竹杆10根、1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250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mm×430mm×0.2mm竹皮2片、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502胶4瓶、砂纸3张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；每套材料约59.20元。</w:t>
      </w:r>
    </w:p>
    <w:p w14:paraId="292AD570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both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工具包括：美工刀，剪刀，小型手锯，米尺，锉刀，铅笔等，可自行准备，也可委托组委会代为购买，如需代购在报名时应告知组委会。</w:t>
      </w:r>
    </w:p>
    <w:p w14:paraId="25208E3C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五、比赛安排</w:t>
      </w:r>
    </w:p>
    <w:p w14:paraId="0E80CDC0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color w:val="FF0000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赛程安排：1月初公布赛题，3月初报名并领取材料，3月底至4月初收取模型（具体见QQ群通知）；</w:t>
      </w:r>
    </w:p>
    <w:p w14:paraId="385D98F3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42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每支队伍应在报名时确定队伍名称、队长、所需订购材料和工具数量。</w:t>
      </w:r>
    </w:p>
    <w:p w14:paraId="1AEC976E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收取模型时将对模型尺寸和质量进行测量记录，并抽签决定加载顺序。</w:t>
      </w:r>
    </w:p>
    <w:p w14:paraId="45369AD1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加载前各组应选派1位代表论述模型设计思路、计算过程、制作工艺、优势特点等。</w:t>
      </w:r>
    </w:p>
    <w:p w14:paraId="7F7D1468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六、注意事项</w:t>
      </w:r>
    </w:p>
    <w:p w14:paraId="29234CA6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严格控制模型尺寸，凡超过尺寸限制的模型不得参加比赛。模型制作过程中不提供试加载。</w:t>
      </w:r>
    </w:p>
    <w:p w14:paraId="72DC7F8B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模型仅限于使用指定的材料和胶水制作，底板仅作为模型与加载架间连接使用，不得用于增强结构。</w:t>
      </w:r>
    </w:p>
    <w:p w14:paraId="2C9E297B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3</w:t>
      </w:r>
      <w:r>
        <w:rPr>
          <w:rFonts w:hint="eastAsia" w:ascii="仿宋" w:hAnsi="仿宋" w:eastAsia="仿宋" w:cs="Times New Roman"/>
          <w:kern w:val="2"/>
          <w:sz w:val="29"/>
          <w:szCs w:val="29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模型严禁采用非指定材料和连接件（如钉等），模型严禁抄袭他人或由他人代做，一经发现，取消比赛资格。</w:t>
      </w:r>
    </w:p>
    <w:p w14:paraId="493854D6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七、评分标准</w:t>
      </w:r>
    </w:p>
    <w:p w14:paraId="5C656173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趣味加载赛道总成绩由</w:t>
      </w:r>
      <w:r>
        <w:rPr>
          <w:rFonts w:hint="eastAsia" w:ascii="仿宋" w:hAnsi="仿宋" w:eastAsia="仿宋" w:cs="仿宋"/>
          <w:b/>
          <w:bCs/>
          <w:kern w:val="2"/>
          <w:sz w:val="29"/>
          <w:szCs w:val="29"/>
          <w:lang w:val="en-US" w:eastAsia="zh-CN" w:bidi="ar"/>
        </w:rPr>
        <w:t>加载成绩、模型评判成绩、设计论述成绩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组成，占比如下：</w:t>
      </w:r>
    </w:p>
    <w:p w14:paraId="7B7AE930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143500" cy="228600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B4373A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专业加载赛道总成绩由</w:t>
      </w:r>
      <w:r>
        <w:rPr>
          <w:rFonts w:hint="eastAsia" w:ascii="仿宋" w:hAnsi="仿宋" w:eastAsia="仿宋" w:cs="仿宋"/>
          <w:b/>
          <w:bCs/>
          <w:kern w:val="2"/>
          <w:sz w:val="29"/>
          <w:szCs w:val="29"/>
          <w:lang w:val="en-US" w:eastAsia="zh-CN" w:bidi="ar"/>
        </w:rPr>
        <w:t>加载成绩、模型计算成绩、设计论述成绩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组成，占比如下：</w:t>
      </w:r>
    </w:p>
    <w:p w14:paraId="450F767C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143500" cy="22860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EE8D9E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580" w:firstLineChars="200"/>
        <w:jc w:val="left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其中，模型评判成绩由评委基于模型制作水平打分给出，设计论述成绩由评委基于参赛选手陈述和答辩情况打分给出，模型计算成绩由评委基于参赛选手提供的设计计算书打分给出，加载成绩由得分系数×占比分值，得分系数由结构承载质量和模型质量共同确定，具体算法如下：</w:t>
      </w:r>
    </w:p>
    <w:p w14:paraId="7E82AA3F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center"/>
        <w:rPr>
          <w:rFonts w:hint="eastAsia" w:ascii="仿宋" w:hAnsi="仿宋" w:eastAsia="仿宋" w:cs="Times New Roman"/>
          <w:kern w:val="2"/>
          <w:sz w:val="29"/>
          <w:szCs w:val="29"/>
        </w:rPr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476375" cy="533400"/>
            <wp:effectExtent l="0" t="0" r="1905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E6334D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420"/>
        <w:jc w:val="both"/>
        <w:textAlignment w:val="center"/>
        <w:rPr>
          <w:rFonts w:hint="eastAsia" w:ascii="仿宋" w:hAnsi="仿宋" w:eastAsia="仿宋" w:cs="Times New Roman"/>
          <w:kern w:val="2"/>
          <w:position w:val="-12"/>
          <w:sz w:val="29"/>
          <w:szCs w:val="29"/>
        </w:rPr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其中，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209550" cy="209550"/>
            <wp:effectExtent l="0" t="0" r="3810" b="317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为某参赛队模型的质量；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342900" cy="209550"/>
            <wp:effectExtent l="0" t="0" r="7620" b="317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为所有通过加载模型中的质量最小值，若所有队伍均未通过最终加载，则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342900" cy="209550"/>
            <wp:effectExtent l="0" t="0" r="7620" b="3175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取通过加载质量最多的所有模型中的质量最小值。</w:t>
      </w:r>
    </w:p>
    <w:p w14:paraId="1D42E8D4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left"/>
      </w:pP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"/>
        </w:rPr>
        <w:t>八、若比赛过程中发生任何有争议的事项，各队应服从组委会的安排，本赛题未述之处及争议条款之解释权归竞赛组委会。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7BC0"/>
    <w:rsid w:val="24C33844"/>
    <w:rsid w:val="32C827FE"/>
    <w:rsid w:val="44125262"/>
    <w:rsid w:val="77C2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5">
    <w:name w:val="论文"/>
    <w:basedOn w:val="1"/>
    <w:qFormat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6">
    <w:name w:val="表格"/>
    <w:basedOn w:val="5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7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2026-01-12T03:59:00Z</dcterms:created>
  <dc:creator>Eva</dc:creator>
  <cp:lastModifiedBy>Eva</cp:lastModifiedBy>
  <dcterms:modified xsi:type="dcterms:W3CDTF">2026-01-12T04:00:32Z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93FCF29513424060BFEDD39C02F3BE2D_11</vt:lpwstr>
  </property>
  <property fmtid="{D5CDD505-2E9C-101B-9397-08002B2CF9AE}" pid="4" name="KSOTemplateDocerSaveRecord">
    <vt:lpwstr>eyJoZGlkIjoiMjExYTc1MGYyNTVlYjUxZjQ0OTZiODY2MTIxNmVkZmIiLCJ1c2VySWQiOiI4MDc3NzQzNTcifQ==</vt:lpwstr>
  </property>
</Properties>
</file>